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4C" w:rsidRDefault="000C08A3">
      <w:r>
        <w:rPr>
          <w:noProof/>
          <w:lang w:eastAsia="ru-RU"/>
        </w:rPr>
        <w:drawing>
          <wp:inline distT="0" distB="0" distL="0" distR="0">
            <wp:extent cx="7777480" cy="10693400"/>
            <wp:effectExtent l="8890" t="0" r="3810" b="3810"/>
            <wp:docPr id="1" name="Рисунок 1" descr="C:\Users\Юрий\Desktop\обществознание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обществознание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7F" w:rsidRPr="00A7007F" w:rsidRDefault="00A7007F" w:rsidP="00A7007F">
      <w:pPr>
        <w:widowControl/>
        <w:autoSpaceDE/>
        <w:autoSpaceDN/>
        <w:spacing w:before="100" w:beforeAutospacing="1" w:after="100" w:afterAutospacing="1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7007F">
        <w:rPr>
          <w:rFonts w:eastAsia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7007F" w:rsidRPr="00A7007F" w:rsidRDefault="00A7007F" w:rsidP="00A7007F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Нормативно правовые документы, на основе которых разработана данная программа</w:t>
      </w:r>
    </w:p>
    <w:p w:rsidR="00A7007F" w:rsidRPr="00A7007F" w:rsidRDefault="00A7007F" w:rsidP="00A7007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 xml:space="preserve">Федеральный закон от 29.12.12 N273-ФЗ (ред.13.07.2015) 2Об </w:t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образовании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A7007F" w:rsidRPr="00A7007F" w:rsidRDefault="00A7007F" w:rsidP="00A7007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A7007F" w:rsidRPr="00A7007F" w:rsidRDefault="00A7007F" w:rsidP="00A7007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A7007F" w:rsidRPr="00A7007F" w:rsidRDefault="00A7007F" w:rsidP="00A7007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 xml:space="preserve">приказ  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A7007F" w:rsidRPr="00A7007F" w:rsidRDefault="00A7007F" w:rsidP="00A7007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 Л.Н. Боголюбов. Рабочие программы. Обществознание. Предметная линия учебников под редакцией Л.Н. Боголюбова, 5-9 классы, М., «Просвещение», 2019 г.</w:t>
      </w:r>
    </w:p>
    <w:p w:rsidR="00A7007F" w:rsidRPr="00A7007F" w:rsidRDefault="00A7007F" w:rsidP="00A7007F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Изучение обществознания на ступени основного общего образования направлено на достижение следующих целей: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развитию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воспитанию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- освоению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 xml:space="preserve">- овладению умениями получать и критически осмысливать формированию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</w:t>
      </w:r>
      <w:r w:rsidRPr="00A7007F">
        <w:rPr>
          <w:rFonts w:eastAsia="Times New Roman" w:cs="Times New Roman"/>
          <w:sz w:val="24"/>
          <w:szCs w:val="24"/>
          <w:lang w:eastAsia="ru-RU"/>
        </w:rPr>
        <w:lastRenderedPageBreak/>
        <w:t>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Рабочая программа учитывает актуальные задачи развития в подростковом возрасте: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 - освоение «нового тела», физиологическая и психологическая поло идентичность;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развитие абстрактного мышления;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выработка жизненной философии, системы ценностей;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A7007F" w:rsidRPr="00A7007F" w:rsidRDefault="00A7007F" w:rsidP="00A7007F">
      <w:pPr>
        <w:widowControl/>
        <w:autoSpaceDE/>
        <w:autoSpaceDN/>
        <w:spacing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Для оценивания результатов достижений учащихся использую письменный и устный опрос (как фронтальный, так и индивидуальный),  тестирование,  работа с таблицей, составление конспекта текста, проекты, доклады, рефераты.</w:t>
      </w:r>
      <w:r w:rsidRPr="00A7007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A7007F" w:rsidRPr="00A7007F" w:rsidRDefault="00A7007F" w:rsidP="00A7007F">
      <w:pPr>
        <w:widowControl/>
        <w:autoSpaceDE/>
        <w:autoSpaceDN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A7007F">
        <w:rPr>
          <w:rFonts w:eastAsia="Times New Roman" w:cs="Times New Roman"/>
          <w:b/>
          <w:sz w:val="24"/>
          <w:szCs w:val="24"/>
          <w:lang w:eastAsia="ru-RU"/>
        </w:rPr>
        <w:t>Требования к результатам обучения и освоения содержания курса «Обществознание 9 класс»</w:t>
      </w:r>
    </w:p>
    <w:p w:rsidR="00A7007F" w:rsidRPr="00A7007F" w:rsidRDefault="00A7007F" w:rsidP="00A7007F">
      <w:pPr>
        <w:widowControl/>
        <w:autoSpaceDE/>
        <w:autoSpaceDN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b/>
          <w:sz w:val="24"/>
          <w:szCs w:val="24"/>
          <w:u w:val="single"/>
          <w:lang w:eastAsia="ru-RU"/>
        </w:rPr>
        <w:t>Личностными </w:t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результатами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t xml:space="preserve"> формируемыми при изучении содержания курса по обществознанию, являются: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 xml:space="preserve">• ценностные ориентиры, основанные на идеях патриотизма, любви и уважения к Отечеству; </w:t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A7007F" w:rsidRPr="00A7007F" w:rsidRDefault="00A7007F" w:rsidP="00A7007F">
      <w:pPr>
        <w:widowControl/>
        <w:autoSpaceDE/>
        <w:autoSpaceDN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b/>
          <w:sz w:val="24"/>
          <w:szCs w:val="24"/>
          <w:u w:val="single"/>
          <w:lang w:eastAsia="ru-RU"/>
        </w:rPr>
        <w:t>Метапредметные</w:t>
      </w:r>
      <w:r w:rsidRPr="00A7007F">
        <w:rPr>
          <w:rFonts w:eastAsia="Times New Roman" w:cs="Times New Roman"/>
          <w:sz w:val="24"/>
          <w:szCs w:val="24"/>
          <w:lang w:eastAsia="ru-RU"/>
        </w:rPr>
        <w:t> результаты изучения обществознания проявляются в: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</w:t>
      </w:r>
      <w:r w:rsidRPr="00A7007F">
        <w:rPr>
          <w:rFonts w:eastAsia="Times New Roman" w:cs="Times New Roman"/>
          <w:sz w:val="24"/>
          <w:szCs w:val="24"/>
          <w:lang w:eastAsia="ru-RU"/>
        </w:rPr>
        <w:lastRenderedPageBreak/>
        <w:t>доступной социальной практике, на: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</w:r>
      <w:r w:rsidRPr="00A7007F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A7007F">
        <w:rPr>
          <w:rFonts w:eastAsia="Times New Roman" w:cs="Times New Roman"/>
          <w:b/>
          <w:sz w:val="24"/>
          <w:szCs w:val="24"/>
          <w:u w:val="single"/>
          <w:lang w:eastAsia="ru-RU"/>
        </w:rPr>
        <w:t>Предметными</w:t>
      </w:r>
      <w:r w:rsidRPr="00A7007F">
        <w:rPr>
          <w:rFonts w:eastAsia="Times New Roman" w:cs="Times New Roman"/>
          <w:sz w:val="24"/>
          <w:szCs w:val="24"/>
          <w:lang w:eastAsia="ru-RU"/>
        </w:rPr>
        <w:t> результатами освоения содержания программы по обществознанию являются: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t xml:space="preserve"> давать оценку взглядам, подходам, событиям, процессам с </w:t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позиций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ценностно-мотивационной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A7007F">
        <w:rPr>
          <w:rFonts w:eastAsia="Times New Roman" w:cs="Times New Roman"/>
          <w:sz w:val="24"/>
          <w:szCs w:val="24"/>
          <w:lang w:eastAsia="ru-RU"/>
        </w:rPr>
        <w:t>трудовой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</w:r>
      <w:r w:rsidRPr="00A7007F">
        <w:rPr>
          <w:rFonts w:eastAsia="Times New Roman" w:cs="Times New Roman"/>
          <w:sz w:val="24"/>
          <w:szCs w:val="24"/>
          <w:lang w:eastAsia="ru-RU"/>
        </w:rPr>
        <w:lastRenderedPageBreak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эстетической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A7007F">
        <w:rPr>
          <w:rFonts w:eastAsia="Times New Roman" w:cs="Times New Roman"/>
          <w:sz w:val="24"/>
          <w:szCs w:val="24"/>
          <w:lang w:eastAsia="ru-RU"/>
        </w:rPr>
        <w:br/>
        <w:t>коммуникативной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A7007F">
        <w:rPr>
          <w:rFonts w:eastAsia="Times New Roman" w:cs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A7007F" w:rsidRPr="00A7007F" w:rsidRDefault="00A7007F" w:rsidP="00A7007F">
      <w:pPr>
        <w:widowControl/>
        <w:autoSpaceDE/>
        <w:autoSpaceDN/>
        <w:rPr>
          <w:rFonts w:eastAsiaTheme="minorEastAsia" w:cs="Times New Roman"/>
          <w:sz w:val="24"/>
          <w:szCs w:val="24"/>
          <w:lang w:eastAsia="ru-RU"/>
        </w:rPr>
      </w:pPr>
      <w:r w:rsidRPr="00A7007F">
        <w:rPr>
          <w:rFonts w:eastAsiaTheme="minorEastAsia" w:cs="Times New Roman"/>
          <w:sz w:val="24"/>
          <w:szCs w:val="24"/>
          <w:lang w:eastAsia="ru-RU"/>
        </w:rPr>
        <w:t>Рабочая программа ориентирована на использование</w:t>
      </w:r>
      <w:r w:rsidRPr="00A7007F">
        <w:rPr>
          <w:rFonts w:eastAsiaTheme="minorEastAsia" w:cs="Times New Roman"/>
          <w:b/>
          <w:sz w:val="24"/>
          <w:szCs w:val="24"/>
          <w:lang w:eastAsia="ru-RU"/>
        </w:rPr>
        <w:t xml:space="preserve"> учебно – методического комплекса</w:t>
      </w:r>
      <w:r w:rsidRPr="00A7007F">
        <w:rPr>
          <w:rFonts w:eastAsiaTheme="minorEastAsia" w:cs="Times New Roman"/>
          <w:sz w:val="24"/>
          <w:szCs w:val="24"/>
          <w:lang w:eastAsia="ru-RU"/>
        </w:rPr>
        <w:t>:</w:t>
      </w:r>
    </w:p>
    <w:p w:rsidR="00A7007F" w:rsidRPr="00A7007F" w:rsidRDefault="00A7007F" w:rsidP="00A7007F">
      <w:pPr>
        <w:widowControl/>
        <w:autoSpaceDE/>
        <w:autoSpaceDN/>
        <w:rPr>
          <w:rFonts w:eastAsia="Times New Roman" w:cs="Times New Roman"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A7007F">
        <w:rPr>
          <w:rFonts w:eastAsiaTheme="minorEastAsia" w:cs="Times New Roman"/>
          <w:sz w:val="24"/>
          <w:szCs w:val="24"/>
          <w:lang w:eastAsia="ru-RU"/>
        </w:rPr>
        <w:t xml:space="preserve">Обществознание. Учебник. 9 класс. Под ред. Л.Н. Боголюбова, А.Ю. </w:t>
      </w:r>
      <w:proofErr w:type="spellStart"/>
      <w:r w:rsidRPr="00A7007F">
        <w:rPr>
          <w:rFonts w:eastAsiaTheme="minorEastAsia" w:cs="Times New Roman"/>
          <w:sz w:val="24"/>
          <w:szCs w:val="24"/>
          <w:lang w:eastAsia="ru-RU"/>
        </w:rPr>
        <w:t>Лазебниковой</w:t>
      </w:r>
      <w:proofErr w:type="spellEnd"/>
      <w:r w:rsidRPr="00A7007F">
        <w:rPr>
          <w:rFonts w:eastAsiaTheme="minorEastAsia" w:cs="Times New Roman"/>
          <w:sz w:val="24"/>
          <w:szCs w:val="24"/>
          <w:lang w:eastAsia="ru-RU"/>
        </w:rPr>
        <w:t>, Н.И. Городецкой.- М.: Просвещение, 2019.</w:t>
      </w:r>
    </w:p>
    <w:p w:rsidR="00A7007F" w:rsidRPr="00A7007F" w:rsidRDefault="00A7007F" w:rsidP="00A7007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A7007F">
        <w:rPr>
          <w:rFonts w:eastAsiaTheme="minorEastAsia" w:cs="Times New Roman"/>
          <w:sz w:val="24"/>
          <w:szCs w:val="24"/>
          <w:lang w:eastAsia="ru-RU"/>
        </w:rPr>
        <w:t xml:space="preserve">Обществознание. Электронное приложение к учебнику под ред. Л.Н. Боголюбова, А.Ю. </w:t>
      </w:r>
      <w:proofErr w:type="spellStart"/>
      <w:r w:rsidRPr="00A7007F">
        <w:rPr>
          <w:rFonts w:eastAsiaTheme="minorEastAsia" w:cs="Times New Roman"/>
          <w:sz w:val="24"/>
          <w:szCs w:val="24"/>
          <w:lang w:eastAsia="ru-RU"/>
        </w:rPr>
        <w:t>Лазебниковой</w:t>
      </w:r>
      <w:proofErr w:type="spellEnd"/>
      <w:r w:rsidRPr="00A7007F">
        <w:rPr>
          <w:rFonts w:eastAsiaTheme="minorEastAsia" w:cs="Times New Roman"/>
          <w:sz w:val="24"/>
          <w:szCs w:val="24"/>
          <w:lang w:eastAsia="ru-RU"/>
        </w:rPr>
        <w:t>, Н.И. Городецкой. 9 класс (СД).</w:t>
      </w:r>
    </w:p>
    <w:p w:rsidR="00A7007F" w:rsidRPr="00A7007F" w:rsidRDefault="00A7007F" w:rsidP="00A7007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A7007F">
        <w:rPr>
          <w:rFonts w:eastAsiaTheme="minorEastAsia" w:cs="Times New Roman"/>
          <w:sz w:val="24"/>
          <w:szCs w:val="24"/>
          <w:lang w:eastAsia="ru-RU"/>
        </w:rPr>
        <w:t xml:space="preserve">О.А. Котова, Т.Е. </w:t>
      </w:r>
      <w:proofErr w:type="spellStart"/>
      <w:r w:rsidRPr="00A7007F">
        <w:rPr>
          <w:rFonts w:eastAsiaTheme="minorEastAsia" w:cs="Times New Roman"/>
          <w:sz w:val="24"/>
          <w:szCs w:val="24"/>
          <w:lang w:eastAsia="ru-RU"/>
        </w:rPr>
        <w:t>Лискова</w:t>
      </w:r>
      <w:proofErr w:type="spellEnd"/>
      <w:r w:rsidRPr="00A7007F">
        <w:rPr>
          <w:rFonts w:eastAsiaTheme="minorEastAsia" w:cs="Times New Roman"/>
          <w:sz w:val="24"/>
          <w:szCs w:val="24"/>
          <w:lang w:eastAsia="ru-RU"/>
        </w:rPr>
        <w:t>. Рабочая тетрадь по обществознанию. 8 класс. - М.: Просвещение. 2023.</w:t>
      </w:r>
    </w:p>
    <w:p w:rsidR="00A7007F" w:rsidRPr="00A7007F" w:rsidRDefault="00A7007F" w:rsidP="00A7007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A7007F">
        <w:rPr>
          <w:rFonts w:eastAsiaTheme="minorEastAsia" w:cs="Times New Roman"/>
          <w:sz w:val="24"/>
          <w:szCs w:val="24"/>
          <w:lang w:eastAsia="ru-RU"/>
        </w:rPr>
        <w:t>Л.Н. Боголюбов, Н.И. Городецкая, Л.Ф. Иванова и др. Обществознание. Рабочие программы. Предметная линейка учебников под ред. Л.Н. Боголюбова. 5 – 9 классы. - М.: Просвещение, 2019.</w:t>
      </w:r>
    </w:p>
    <w:p w:rsidR="00A7007F" w:rsidRPr="00A7007F" w:rsidRDefault="00A7007F" w:rsidP="00A7007F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A7007F">
        <w:rPr>
          <w:rFonts w:eastAsiaTheme="minorEastAsia" w:cs="Times New Roman"/>
          <w:sz w:val="24"/>
          <w:szCs w:val="24"/>
          <w:lang w:eastAsia="ru-RU"/>
        </w:rPr>
        <w:t>А.В. Поздеев. Обществознание. Поурочные разработки. 2019.</w:t>
      </w:r>
    </w:p>
    <w:p w:rsidR="00A7007F" w:rsidRDefault="00A7007F" w:rsidP="00A7007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7007F">
        <w:rPr>
          <w:rFonts w:eastAsia="Times New Roman" w:cs="Times New Roman"/>
          <w:b/>
          <w:sz w:val="24"/>
          <w:szCs w:val="24"/>
          <w:lang w:eastAsia="ru-RU"/>
        </w:rPr>
        <w:t>Описание учебного предмета «Обществознание» в базисном учебном плане</w:t>
      </w:r>
    </w:p>
    <w:p w:rsidR="00A7007F" w:rsidRPr="00A7007F" w:rsidRDefault="00A7007F" w:rsidP="00A7007F">
      <w:pPr>
        <w:widowControl/>
        <w:autoSpaceDE/>
        <w:autoSpaceDN/>
        <w:spacing w:after="200" w:line="276" w:lineRule="auto"/>
        <w:ind w:left="72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Предмет «Обществознание» изучается на ступени основного общего образования в качестве обязательного предмета в 9 классе в общем объёме 34 часов, по 1 часу в неделю.</w:t>
      </w:r>
    </w:p>
    <w:p w:rsidR="00A7007F" w:rsidRDefault="00A7007F" w:rsidP="00A7007F">
      <w:pPr>
        <w:widowControl/>
        <w:autoSpaceDE/>
        <w:autoSpaceDN/>
        <w:spacing w:after="20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after="20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A7007F">
        <w:rPr>
          <w:rFonts w:eastAsiaTheme="minorEastAsia" w:cs="Times New Roman"/>
          <w:b/>
          <w:sz w:val="24"/>
          <w:szCs w:val="24"/>
          <w:lang w:eastAsia="ru-RU"/>
        </w:rPr>
        <w:t xml:space="preserve">Распределение </w:t>
      </w:r>
      <w:proofErr w:type="gramStart"/>
      <w:r w:rsidRPr="00A7007F">
        <w:rPr>
          <w:rFonts w:eastAsiaTheme="minorEastAsia" w:cs="Times New Roman"/>
          <w:b/>
          <w:sz w:val="24"/>
          <w:szCs w:val="24"/>
          <w:lang w:eastAsia="ru-RU"/>
        </w:rPr>
        <w:t>учебных</w:t>
      </w:r>
      <w:proofErr w:type="gramEnd"/>
      <w:r w:rsidRPr="00A7007F">
        <w:rPr>
          <w:rFonts w:eastAsiaTheme="minorEastAsia" w:cs="Times New Roman"/>
          <w:b/>
          <w:sz w:val="24"/>
          <w:szCs w:val="24"/>
          <w:lang w:eastAsia="ru-RU"/>
        </w:rPr>
        <w:t xml:space="preserve"> часов по разделам программы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1985"/>
      </w:tblGrid>
      <w:tr w:rsidR="00A7007F" w:rsidRPr="00A7007F" w:rsidTr="009253D8">
        <w:trPr>
          <w:trHeight w:val="548"/>
        </w:trPr>
        <w:tc>
          <w:tcPr>
            <w:tcW w:w="817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76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8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Количество</w:t>
            </w:r>
          </w:p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часов</w:t>
            </w:r>
          </w:p>
        </w:tc>
      </w:tr>
      <w:tr w:rsidR="00A7007F" w:rsidRPr="00A7007F" w:rsidTr="009253D8">
        <w:tc>
          <w:tcPr>
            <w:tcW w:w="817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Человек в политическом измерении</w:t>
            </w:r>
          </w:p>
        </w:tc>
        <w:tc>
          <w:tcPr>
            <w:tcW w:w="198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7007F" w:rsidRPr="00A7007F" w:rsidTr="009253D8">
        <w:tc>
          <w:tcPr>
            <w:tcW w:w="817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98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7007F" w:rsidRPr="00A7007F" w:rsidTr="009253D8">
        <w:tc>
          <w:tcPr>
            <w:tcW w:w="817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Человек в системе социальных отношений</w:t>
            </w:r>
          </w:p>
        </w:tc>
        <w:tc>
          <w:tcPr>
            <w:tcW w:w="198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A7007F" w:rsidRPr="00A7007F" w:rsidTr="009253D8">
        <w:tc>
          <w:tcPr>
            <w:tcW w:w="817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Человек в современном изменяющемся мире</w:t>
            </w:r>
          </w:p>
        </w:tc>
        <w:tc>
          <w:tcPr>
            <w:tcW w:w="198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7007F" w:rsidRPr="00A7007F" w:rsidTr="009253D8">
        <w:tc>
          <w:tcPr>
            <w:tcW w:w="817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A7007F" w:rsidRPr="00A7007F" w:rsidRDefault="00A7007F" w:rsidP="00A7007F">
      <w:pPr>
        <w:widowControl/>
        <w:autoSpaceDE/>
        <w:autoSpaceDN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7007F">
        <w:rPr>
          <w:rFonts w:eastAsia="Times New Roman" w:cs="Times New Roman"/>
          <w:sz w:val="24"/>
          <w:szCs w:val="24"/>
          <w:lang w:eastAsia="ru-RU"/>
        </w:rPr>
        <w:t>Рабочая программа рассчитана на 2023 – 2024 учебный год</w:t>
      </w: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20484" w:rsidRDefault="00B20484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7007F">
        <w:rPr>
          <w:rFonts w:eastAsiaTheme="minorEastAsia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обществознанию</w:t>
      </w:r>
    </w:p>
    <w:p w:rsidR="00A7007F" w:rsidRPr="00A7007F" w:rsidRDefault="00A7007F" w:rsidP="00A7007F">
      <w:pPr>
        <w:widowControl/>
        <w:autoSpaceDE/>
        <w:autoSpaceDN/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A7007F">
        <w:rPr>
          <w:rFonts w:eastAsiaTheme="minorEastAsia" w:cs="Times New Roman"/>
          <w:b/>
          <w:sz w:val="24"/>
          <w:szCs w:val="24"/>
          <w:lang w:eastAsia="ru-RU"/>
        </w:rPr>
        <w:t xml:space="preserve"> в 9 классе</w:t>
      </w:r>
    </w:p>
    <w:tbl>
      <w:tblPr>
        <w:tblStyle w:val="2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693"/>
        <w:gridCol w:w="1276"/>
        <w:gridCol w:w="7229"/>
        <w:gridCol w:w="992"/>
        <w:gridCol w:w="808"/>
      </w:tblGrid>
      <w:tr w:rsidR="00A7007F" w:rsidRPr="00A7007F" w:rsidTr="009253D8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Факт.</w:t>
            </w:r>
          </w:p>
        </w:tc>
      </w:tr>
      <w:tr w:rsidR="00A7007F" w:rsidRPr="00A7007F" w:rsidTr="009253D8">
        <w:trPr>
          <w:trHeight w:val="524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Человек в политическом измерении (6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</w:t>
            </w:r>
          </w:p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Политика и власть</w:t>
            </w:r>
          </w:p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Формы проявления влияния: сила, власть,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 Знать: какие существуют формы проявления влияния в обществе. Уметь анализировать конкретные жизненные ситуации. Связанные с деятельностью власти.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Знать понятия: влияние, сила, власть, авторитет, господство, диктатура, руководство, гегемония, управление, иерархия, легитимность, оппозиция, разделение властей.</w:t>
            </w:r>
            <w:proofErr w:type="gramEnd"/>
          </w:p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общие и частные. Знать: что такое политическая система общества, какова роль государства в ней, основные функции государства, какие причины могут лежать в основе зарождения государства.  Уметь: анализировать виды монополии государства, давать разъяснение слову «государство», употребляемому в различных значениях, знать основные признаки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86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Политические режимы.</w:t>
            </w:r>
          </w:p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– защитник демократических свобод и борьба за его учреждение. Структура парламента. Знать, что такое политический режим, какие типы политических режимов существуют.</w:t>
            </w:r>
          </w:p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Уметь анализировать разновидности политических режимов, подтверждая ответ конкретными примерами из истории.</w:t>
            </w:r>
          </w:p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Понятие о правовом государстве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>история  его становления. Признаки правового государства. Черты тоталитарного государства. Что такое правовое государство, каковы его основные признаки. Уметь анализировать взаимоотношения государства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276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3</w:t>
            </w:r>
          </w:p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Гражданское общество и государство</w:t>
            </w:r>
          </w:p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Что такое гражданское общество?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>история  его становления. Признаки правового государства. Черты тоталитарного государства. Знать, что такое гражданское общество. Что представляет собой институт гражданства. А также кто такие граждане и каков их правовой статус, что такое правовое государство, каковы его основные признаки. Уметь анализировать взаимоотношения государства 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 Знать, что представляет собой голосование,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референдум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и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каков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их механизм, каким образом люди могут участвовать в политической жизни страны и оказывать реальное воздействие на власть и принимаемые ею решения. Объяснять сущность активного и пассивного избирательного права. Анализировать собственные и чужие симпатии. Определять факторы, способствующие политической активности населения. Уметь объяснять противоречия реальной жизни и находить возможный вариант их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Определение и признаки политической партии. Понятие о политической программе партии. Одно и многопартийные системы, их особенности, преимущества и недостатки. Функции политической партии. Классификация политических партий. Роль политических партий в обществе. Знать, что такое политическая партия, какие функции она выполняет, основные подходы к классификации партий, какими признаками наделена политическая партия. Уметь анализировать любые политические партии и определять, к какому типу они относятся.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8" w:lineRule="exact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Гражданин и государство (8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Основы конституционного строя. Этапы развития Конституции. Закон высшей юридической силы. Главные задачи Конституции. Конституционный строй. Основы государства. Основы статуса человека и гражданина. Основные принципы конституционного строя. Приводить конкретные примеры с опорой на текст Конституции РФ, подтверждающие её высшую юридическую силу. Называть главные задачи Конституции. Объяснять, какие принципы правового государства отражены в статьях 2, 10, 15, 17, 18 Конституции РФ. Характеризовать принципы федерального устройства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Понятие прав, свобод и обязанностей. Всеобщая декларация прав человека. Воздействие международных документов по правам человека на утверждение прав и свобод человека и гражданина в РФ. Объяснять смысл понятия «права человека». Объяснять, почему Всеобщая декларация прав человека не является юридическим документом. Классифицировать права и свободы (приводить примеры различных групп прав)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Права и свободы человека и гражданина 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Высшие органы власти в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Характеризовать Конституцию РФ как закон высшей юридической силы.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Основы государства. Основы статуса человека и гражданина.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Судебная система РФ.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Судебная система РФ. Характеризовать юридическую ответственность в качестве критерия правомерного поведения. Объяснять смысл презумпции невиновности.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Правоохранительные органы РФ. Адвокатура. Нотариат. Называть основные правоохранительные органы РФ. </w:t>
            </w:r>
            <w:r w:rsidRPr="00A7007F">
              <w:rPr>
                <w:rFonts w:cs="Times New Roman"/>
                <w:sz w:val="24"/>
                <w:szCs w:val="24"/>
              </w:rPr>
              <w:lastRenderedPageBreak/>
              <w:t>Различать сферы деятельности правоохранительных органов и судебной системы. Приводить примеры деятельности правоохранительных органов.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Урок-повто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рение по теме «</w:t>
            </w:r>
            <w:r w:rsidRPr="00A7007F">
              <w:rPr>
                <w:rFonts w:cs="Times New Roman"/>
                <w:b/>
                <w:sz w:val="24"/>
                <w:szCs w:val="24"/>
              </w:rPr>
              <w:t>Гражданин и государство</w:t>
            </w:r>
            <w:r w:rsidRPr="00A7007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Повторение, систематиза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ция, обобщение изученного мате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риала. Знать/понимать основ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ные обществоведческие понятия изученной темы.</w:t>
            </w:r>
          </w:p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8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7007F">
              <w:rPr>
                <w:rFonts w:cs="Times New Roman"/>
                <w:b/>
                <w:sz w:val="24"/>
                <w:szCs w:val="24"/>
              </w:rPr>
              <w:t>Человек в системе социальных отношений (11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 Иерархия нормативно-правовых актов. Уметь разъяснять сущность права, правильно употреблять понятие «право» в вариативных контекстах, пояснить систему права, раскрывая сущность основных отраслей российского права,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Нормы права. Закон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противоправные юридические действия, события. Раскрывать смысл понятия «правоотношения», показывать на примерах отличия правоотношений от других видов социальных отношений. Раскрывать смысл понятий «субъективные юридические права» и «юридические обязанности участников правоотношений». Объяснять причины субъективности прав и юридического закрепления обязанностей участников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Понятие правонарушения. Признаки и виды правонарушений. Понятия и виды юридической ответственности. Презумпция невиновности. Различать правонарушение и правомерное поведение. Называть основные виды и признаки правонарушений.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Гражданские </w:t>
            </w:r>
            <w:r w:rsidRPr="00A7007F">
              <w:rPr>
                <w:rFonts w:cs="Times New Roman"/>
                <w:sz w:val="24"/>
                <w:szCs w:val="24"/>
              </w:rPr>
              <w:lastRenderedPageBreak/>
              <w:t>правоотношения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Сущность гражданского права. Особенности гражданских </w:t>
            </w:r>
            <w:r w:rsidRPr="00A7007F">
              <w:rPr>
                <w:rFonts w:cs="Times New Roman"/>
                <w:sz w:val="24"/>
                <w:szCs w:val="24"/>
              </w:rPr>
              <w:lastRenderedPageBreak/>
              <w:t xml:space="preserve">правоотношений. Виды договоров. Гражданская дееспособность несовершеннолетних.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Зашита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прав потребителя. Характеризовать особенности гражданских правовых отношений. Называть виды и приводить примеры гражданских договоров. Раскрывать особенности гражданской дееспособности несовершеннолетних. Находить и извлекать информацию о правах потребителя, предусмотренных законом РФ. Раскрывать на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примерах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меры зашиты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Особенности гражданских правоотношений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Трудовые правоотношения. Трудовой кодекс РФ. Право на труд. Трудовые правоотношения. Права, обязанности и взаимная ответственность работника и работодателя. Особенности положения несовершеннолетних в трудовых правоотношениях. Называть основные юридические гарантии права на свободный труд. Характеризовать особенности трудовых правоотношений. Объяснять роль трудового договора в отношениях между работниками и работодателями. Раскрывать особенности положения несовершеннолетних в трудовых правоотношениях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Семейные правоотношения.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Семейный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кодеке РФ. Сущность и особенность семейных правоотношений. Правоотношения супругов. Правоотношения родителей и детей. Объяснять условия заключения и расторжения брака. Приводить примеры прав и обязанностей супругов, родителей и детей. Находить и извлекать информацию о семейных правоотношениях из адаптированных источников различного типа</w:t>
            </w:r>
          </w:p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Сущность и особенности семейных правоотношений.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Административные правоотношения. Кодекс РФ об административных правонарушениях. Административные правонарушения. Вилы административных наказаний. Определять сферу общественных отношений.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Регулируемых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административным правом. Характеризовать субъектов административных правоотношений. Указывать основные признаки административного правонарушения. Характеризовать значение административных наказаний.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Основные понятия и институты уголовного права. Понятие преступления. Пределы допустимой самообороны. Уголовная </w:t>
            </w:r>
            <w:r w:rsidRPr="00A7007F">
              <w:rPr>
                <w:rFonts w:cs="Times New Roman"/>
                <w:sz w:val="24"/>
                <w:szCs w:val="24"/>
              </w:rPr>
              <w:lastRenderedPageBreak/>
              <w:t>ответственность несовершеннолетних. Характеризовать особенности уголовного права и уголовно-правовых отношений. Указывать объекты уголовно-правовых отношений. Перечислять важнейшие признаки преступления. Отличать необходимую оборону от самосуда. Характеризовать специфику уголовной ответственности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Понятие преступления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Законодательство в сфере образования. Получение образования — и право, и обязанность. Объяснять смысл понятия «право на образование». Различать право на образование применительно к основной и полной средней школе. Объяснять взаимосвязь права на образование и обязанности получить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</w:rPr>
            </w:pPr>
            <w:proofErr w:type="gramStart"/>
            <w:r w:rsidRPr="00A7007F">
              <w:rPr>
                <w:rFonts w:cs="Times New Roman"/>
                <w:sz w:val="24"/>
                <w:szCs w:val="24"/>
              </w:rPr>
              <w:t>Международно-правовая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зашита жертв вооружённых конфликтов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Международное гуманитарное право.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Международно-правовая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зашита жертв вооруженных конфликтов. Право на жизнь в условиях вооружённых конфликтов.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Зашита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гражданского населения в период вооруженных конфликтов. Объяснять сущность гуманитарного права. Характеризовать основные нормы, направленные на защиту раненых, военнопленных, </w:t>
            </w:r>
            <w:proofErr w:type="gramStart"/>
            <w:r w:rsidRPr="00A7007F">
              <w:rPr>
                <w:rFonts w:cs="Times New Roman"/>
                <w:sz w:val="24"/>
                <w:szCs w:val="24"/>
              </w:rPr>
              <w:t>мирного</w:t>
            </w:r>
            <w:proofErr w:type="gramEnd"/>
            <w:r w:rsidRPr="00A7007F">
              <w:rPr>
                <w:rFonts w:cs="Times New Roman"/>
                <w:sz w:val="24"/>
                <w:szCs w:val="24"/>
              </w:rPr>
              <w:t xml:space="preserve"> населения. Указывать методы и средства ведения войны, которые запрещены. Объяснять значение международного гуманитарного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tabs>
                <w:tab w:val="left" w:pos="1755"/>
              </w:tabs>
              <w:autoSpaceDE/>
              <w:autoSpaceDN/>
              <w:rPr>
                <w:rFonts w:cs="Times New Roman"/>
                <w:sz w:val="24"/>
                <w:szCs w:val="24"/>
                <w:lang w:val="en-US"/>
              </w:rPr>
            </w:pPr>
            <w:r w:rsidRPr="00A7007F">
              <w:rPr>
                <w:rFonts w:cs="Times New Roman"/>
                <w:sz w:val="24"/>
                <w:szCs w:val="24"/>
              </w:rPr>
              <w:t>Значение международного гуманитарного права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140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8" w:lineRule="exact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Урок-повто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рение по теме «</w:t>
            </w:r>
            <w:r w:rsidRPr="00A7007F">
              <w:rPr>
                <w:rFonts w:cs="Times New Roman"/>
                <w:b/>
                <w:sz w:val="24"/>
                <w:szCs w:val="24"/>
              </w:rPr>
              <w:t>Право</w:t>
            </w:r>
            <w:r w:rsidRPr="00A7007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Повторение, систематиза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ция, обобщение изученного мате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риала. Знать/понимать основ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ные обществоведческие понятия изученной темы.</w:t>
            </w:r>
          </w:p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cantSplit/>
          <w:trHeight w:val="22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A7007F" w:rsidRPr="00A7007F" w:rsidRDefault="00A7007F" w:rsidP="00A7007F">
            <w:pPr>
              <w:widowControl/>
              <w:autoSpaceDE/>
              <w:autoSpaceDN/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 xml:space="preserve">Итоговое повторение </w:t>
            </w:r>
          </w:p>
          <w:p w:rsidR="00A7007F" w:rsidRPr="00A7007F" w:rsidRDefault="00A7007F" w:rsidP="00A7007F">
            <w:pPr>
              <w:widowControl/>
              <w:autoSpaceDE/>
              <w:autoSpaceDN/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A7007F">
              <w:rPr>
                <w:rFonts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8" w:lineRule="exact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Повторение раздела </w:t>
            </w:r>
            <w:r w:rsidRPr="00A7007F">
              <w:rPr>
                <w:rFonts w:cs="Times New Roman"/>
                <w:b/>
                <w:sz w:val="24"/>
                <w:szCs w:val="24"/>
              </w:rPr>
              <w:t>«</w:t>
            </w:r>
            <w:r w:rsidRPr="00A7007F">
              <w:rPr>
                <w:rFonts w:cs="Times New Roman"/>
                <w:sz w:val="24"/>
                <w:szCs w:val="24"/>
              </w:rPr>
              <w:t>Человек в политическом измерении»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Повторение, систематиза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ция, обобщение изученного мате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риала. Знать/понимать основ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ные обществоведческие понятия изученной темы.</w:t>
            </w:r>
          </w:p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111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8" w:lineRule="exact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Повторение раздела</w:t>
            </w:r>
            <w:r w:rsidRPr="00A7007F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Pr="00A7007F">
              <w:rPr>
                <w:rFonts w:cs="Times New Roman"/>
                <w:sz w:val="24"/>
                <w:szCs w:val="24"/>
              </w:rPr>
              <w:t>Человек в системе социальных отношений»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Повторение, систематиза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ция, обобщение изученного мате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риала. Знать/понимать основ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ные обществоведческие понятия изученной темы.</w:t>
            </w:r>
          </w:p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113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8" w:lineRule="exact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Повторение, систематиза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ция, обобщение изученного мате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риала. Знать/понимать основ</w:t>
            </w:r>
            <w:r w:rsidRPr="00A7007F">
              <w:rPr>
                <w:rFonts w:cs="Times New Roman"/>
                <w:sz w:val="24"/>
                <w:szCs w:val="24"/>
              </w:rPr>
              <w:softHyphen/>
              <w:t>ные обществоведческие понятия изученной темы.</w:t>
            </w:r>
          </w:p>
          <w:p w:rsidR="00A7007F" w:rsidRPr="00A7007F" w:rsidRDefault="00A7007F" w:rsidP="00A7007F">
            <w:pPr>
              <w:widowControl/>
              <w:adjustRightInd w:val="0"/>
              <w:spacing w:line="238" w:lineRule="exact"/>
              <w:ind w:left="7" w:hanging="7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Формулировать на основе приобретенных обществоведческих знаний собственные суждения и аргументы по проблеме.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007F" w:rsidRPr="00A7007F" w:rsidTr="009253D8">
        <w:trPr>
          <w:trHeight w:val="140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7007F">
              <w:rPr>
                <w:rFonts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adjustRightInd w:val="0"/>
              <w:spacing w:line="238" w:lineRule="exact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djustRightInd w:val="0"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 xml:space="preserve">Научиться применять приобретенные знания, умения, навыки на практике. </w:t>
            </w:r>
          </w:p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Регулировать собственную деятельность посредством письменной речи.</w:t>
            </w:r>
          </w:p>
          <w:p w:rsidR="00A7007F" w:rsidRPr="00A7007F" w:rsidRDefault="00A7007F" w:rsidP="00A7007F">
            <w:pPr>
              <w:widowControl/>
              <w:autoSpaceDE/>
              <w:autoSpaceDN/>
              <w:rPr>
                <w:rFonts w:cs="Times New Roman"/>
                <w:sz w:val="24"/>
                <w:szCs w:val="24"/>
              </w:rPr>
            </w:pPr>
            <w:r w:rsidRPr="00A7007F">
              <w:rPr>
                <w:rFonts w:cs="Times New Roman"/>
                <w:sz w:val="24"/>
                <w:szCs w:val="24"/>
              </w:rPr>
              <w:t>Оценивать достигнутый результат.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A7007F" w:rsidRPr="00A7007F" w:rsidRDefault="00A7007F" w:rsidP="00A7007F">
            <w:pPr>
              <w:widowControl/>
              <w:autoSpaceDE/>
              <w:autoSpaceDN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7007F" w:rsidRPr="00A7007F" w:rsidRDefault="00A7007F">
      <w:pPr>
        <w:rPr>
          <w:rFonts w:cs="Times New Roman"/>
          <w:sz w:val="24"/>
          <w:szCs w:val="24"/>
        </w:rPr>
      </w:pPr>
    </w:p>
    <w:sectPr w:rsidR="00A7007F" w:rsidRPr="00A7007F" w:rsidSect="000C08A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154"/>
    <w:multiLevelType w:val="hybridMultilevel"/>
    <w:tmpl w:val="84D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7CC3"/>
    <w:multiLevelType w:val="multilevel"/>
    <w:tmpl w:val="1CA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B"/>
    <w:rsid w:val="000C08A3"/>
    <w:rsid w:val="004C036D"/>
    <w:rsid w:val="0054298B"/>
    <w:rsid w:val="00A7007F"/>
    <w:rsid w:val="00B20484"/>
    <w:rsid w:val="00C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36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36D"/>
    <w:pPr>
      <w:spacing w:before="119"/>
      <w:ind w:left="526"/>
    </w:pPr>
    <w:rPr>
      <w:rFonts w:eastAsia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A70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70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7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0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36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36D"/>
    <w:pPr>
      <w:spacing w:before="119"/>
      <w:ind w:left="526"/>
    </w:pPr>
    <w:rPr>
      <w:rFonts w:eastAsia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A70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70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7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0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2023-09-03T08:47:00Z</cp:lastPrinted>
  <dcterms:created xsi:type="dcterms:W3CDTF">2023-09-03T08:42:00Z</dcterms:created>
  <dcterms:modified xsi:type="dcterms:W3CDTF">2023-10-04T18:06:00Z</dcterms:modified>
</cp:coreProperties>
</file>